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2A6440"/>
          <w:sz w:val="52"/>
          <w:szCs w:val="52"/>
        </w:rPr>
        <w:t xml:space="preserve">CITIZEN RFP</w:t>
      </w:r>
    </w:p>
    <w:p>
      <w:pPr>
        <w:pBdr>
          <w:bottom w:val="single" w:color="2A6440" w:sz="12" w:space="8"/>
        </w:pBdr>
        <w:spacing w:after="200"/>
      </w:pPr>
      <w:r>
        <w:rPr>
          <w:rFonts w:ascii="Calibri" w:cs="Calibri" w:eastAsia="Calibri" w:hAnsi="Calibri"/>
          <w:color w:val="595959"/>
          <w:sz w:val="24"/>
          <w:szCs w:val="24"/>
        </w:rPr>
        <w:t xml:space="preserve">Model template — a community’s request for proposals from data center and campus partners</w:t>
      </w:r>
    </w:p>
    <w:p>
      <w:pPr>
        <w:spacing w:after="60" w:before="0" w:line="276"/>
      </w:pPr>
      <w:r>
        <w:rPr>
          <w:rFonts w:ascii="Calibri" w:cs="Calibri" w:eastAsia="Calibri" w:hAnsi="Calibri"/>
          <w:b/>
          <w:bCs/>
          <w:sz w:val="21"/>
          <w:szCs w:val="21"/>
        </w:rPr>
        <w:t xml:space="preserve">Issued by: [JURISDICTION]</w:t>
      </w:r>
    </w:p>
    <w:p>
      <w:pPr>
        <w:spacing w:after="60" w:before="0" w:line="276"/>
      </w:pPr>
      <w:r>
        <w:rPr>
          <w:rFonts w:ascii="Calibri" w:cs="Calibri" w:eastAsia="Calibri" w:hAnsi="Calibri"/>
          <w:color w:val="595959"/>
          <w:sz w:val="21"/>
          <w:szCs w:val="21"/>
        </w:rPr>
        <w:t xml:space="preserve">Response deadline: [DATE, TIME, TIME ZONE]     ·     Contact: [NAME, TITLE, EMAIL, PHONE]</w:t>
      </w:r>
    </w:p>
    <w:p>
      <w:pPr>
        <w:spacing w:after="300" w:before="0" w:line="276"/>
      </w:pPr>
      <w:r>
        <w:rPr>
          <w:rFonts w:ascii="Calibri" w:cs="Calibri" w:eastAsia="Calibri" w:hAnsi="Calibri"/>
          <w:color w:val="595959"/>
          <w:sz w:val="21"/>
          <w:szCs w:val="21"/>
        </w:rPr>
        <w:t xml:space="preserve">Reference: [RFP NUMBER]     ·     Issued: [DATE]</w:t>
      </w:r>
    </w:p>
    <w:p>
      <w:pPr>
        <w:spacing w:after="240" w:before="0" w:line="276"/>
      </w:pPr>
      <w:r>
        <w:rPr>
          <w:rFonts w:ascii="Calibri" w:cs="Calibri" w:eastAsia="Calibri" w:hAnsi="Calibri"/>
          <w:i/>
          <w:iCs/>
          <w:color w:val="595959"/>
          <w:sz w:val="19"/>
          <w:szCs w:val="19"/>
        </w:rPr>
        <w:t xml:space="preserve">Adapt freely. This template is published by GreenPlex.ai and is not a GreenPlex sales document — a jurisdiction that runs it and selects another partner has still run a better process. Bracketed text is for the issuing jurisdiction to complete.</w:t>
      </w:r>
    </w:p>
    <w:p>
      <w:pPr>
        <w:pStyle w:val="Heading1"/>
        <w:spacing w:after="140" w:before="360"/>
      </w:pPr>
      <w:r>
        <w:rPr>
          <w:rFonts w:ascii="Calibri" w:cs="Calibri" w:eastAsia="Calibri" w:hAnsi="Calibri"/>
          <w:b/>
          <w:bCs/>
          <w:color w:val="2A6440"/>
          <w:sz w:val="30"/>
          <w:szCs w:val="30"/>
        </w:rPr>
        <w:t xml:space="preserve">1.  Purpose</w:t>
      </w:r>
    </w:p>
    <w:p>
      <w:pPr>
        <w:spacing w:after="140" w:before="0" w:line="276"/>
      </w:pPr>
      <w:r>
        <w:rPr>
          <w:rFonts w:ascii="Calibri" w:cs="Calibri" w:eastAsia="Calibri" w:hAnsi="Calibri"/>
          <w:sz w:val="21"/>
          <w:szCs w:val="21"/>
        </w:rPr>
        <w:t xml:space="preserve">A data center normally arrives fully formed. The developer picks the site, designs the campus, sets its size, water draw and noise profile, decides what the community will receive, and then asks permission at a public hearing. By then the community's only instrument is refusal. That is a veto process, not a negotiation, and it reliably produces contested hearings and outcomes nobody wanted.</w:t>
      </w:r>
    </w:p>
    <w:p>
      <w:pPr>
        <w:spacing w:after="140" w:before="0" w:line="276"/>
      </w:pPr>
      <w:r>
        <w:rPr>
          <w:rFonts w:ascii="Calibri" w:cs="Calibri" w:eastAsia="Calibri" w:hAnsi="Calibri"/>
          <w:sz w:val="21"/>
          <w:szCs w:val="21"/>
        </w:rPr>
        <w:t xml:space="preserve">This document inverts the sequence. [JURISDICTION] is publishing its requirements before any application is filed, and inviting data center providers, hyperscalers and campus partners to compete on those terms. Nothing here is anti-development. It is the competitive procurement discipline this jurisdiction already applies to a school or a bridge, applied to the largest industrial project it will ever host.</w:t>
      </w:r>
    </w:p>
    <w:p>
      <w:pPr>
        <w:spacing w:after="140" w:before="0" w:line="276"/>
      </w:pPr>
      <w:r>
        <w:rPr>
          <w:rFonts w:ascii="Calibri" w:cs="Calibri" w:eastAsia="Calibri" w:hAnsi="Calibri"/>
          <w:sz w:val="21"/>
          <w:szCs w:val="21"/>
        </w:rPr>
        <w:t xml:space="preserve">What the jurisdiction is offering is not land. Land is abundant. What is scarce, and what this solicitation puts on the table, is permission delivered predictably and on schedule.</w:t>
      </w:r>
    </w:p>
    <w:p>
      <w:pPr>
        <w:pStyle w:val="Heading2"/>
        <w:spacing w:after="140" w:before="260"/>
      </w:pPr>
      <w:r>
        <w:rPr>
          <w:rFonts w:ascii="Calibri" w:cs="Calibri" w:eastAsia="Calibri" w:hAnsi="Calibri"/>
          <w:b/>
          <w:bCs/>
          <w:color w:val="222222"/>
          <w:sz w:val="24"/>
          <w:szCs w:val="24"/>
        </w:rPr>
        <w:t xml:space="preserve">1.1  This document and the two that follow</w:t>
      </w:r>
    </w:p>
    <w:p>
      <w:pPr>
        <w:spacing w:after="140" w:before="0" w:line="276"/>
      </w:pPr>
      <w:r>
        <w:rPr>
          <w:rFonts w:ascii="Calibri" w:cs="Calibri" w:eastAsia="Calibri" w:hAnsi="Calibri"/>
          <w:sz w:val="21"/>
          <w:szCs w:val="21"/>
        </w:rPr>
        <w:t xml:space="preserve">The Citizen RFP is the first of three artifacts. It sets out, in plain language, what the community requires and what it expects in return. The two that follow translate the accepted response into contractual interface language: the binding technical and commercial terms among the parties who become tenants on the campus, and the operating agreement that governs the exchanges between them once built.</w:t>
      </w:r>
    </w:p>
    <w:p>
      <w:pPr>
        <w:pStyle w:val="Heading2"/>
        <w:spacing w:after="140" w:before="260"/>
      </w:pPr>
      <w:r>
        <w:rPr>
          <w:rFonts w:ascii="Calibri" w:cs="Calibri" w:eastAsia="Calibri" w:hAnsi="Calibri"/>
          <w:b/>
          <w:bCs/>
          <w:color w:val="222222"/>
          <w:sz w:val="24"/>
          <w:szCs w:val="24"/>
        </w:rPr>
        <w:t xml:space="preserve">1.2  How to use this template</w:t>
      </w:r>
    </w:p>
    <w:p>
      <w:pPr>
        <w:spacing w:after="110" w:line="276"/>
      </w:pPr>
      <w:r>
        <w:rPr>
          <w:rFonts w:ascii="Calibri" w:cs="Calibri" w:eastAsia="Calibri" w:hAnsi="Calibri"/>
          <w:b/>
          <w:bCs/>
          <w:sz w:val="21"/>
          <w:szCs w:val="21"/>
        </w:rPr>
        <w:t xml:space="preserve">Strike what does not apply. </w:t>
      </w:r>
      <w:r>
        <w:rPr>
          <w:rFonts w:ascii="Calibri" w:cs="Calibri" w:eastAsia="Calibri" w:hAnsi="Calibri"/>
          <w:sz w:val="21"/>
          <w:szCs w:val="21"/>
        </w:rPr>
        <w:t xml:space="preserve">Part B is written for a full campus — a controlled-environment farm, a community research and learning center, and a data center. A jurisdiction soliciting a data center alone should delete the farm edges and keep Part A and Edge 03.</w:t>
      </w:r>
    </w:p>
    <w:p>
      <w:pPr>
        <w:spacing w:after="110" w:line="276"/>
      </w:pPr>
      <w:r>
        <w:rPr>
          <w:rFonts w:ascii="Calibri" w:cs="Calibri" w:eastAsia="Calibri" w:hAnsi="Calibri"/>
          <w:b/>
          <w:bCs/>
          <w:sz w:val="21"/>
          <w:szCs w:val="21"/>
        </w:rPr>
        <w:t xml:space="preserve">Set the numbers before issuing. </w:t>
      </w:r>
      <w:r>
        <w:rPr>
          <w:rFonts w:ascii="Calibri" w:cs="Calibri" w:eastAsia="Calibri" w:hAnsi="Calibri"/>
          <w:sz w:val="21"/>
          <w:szCs w:val="21"/>
        </w:rPr>
        <w:t xml:space="preserve">Part A is a floor and must carry real limits. Part B deliberately says what, not how much, so developers compete on the size of the offer — but see Part C.</w:t>
      </w:r>
    </w:p>
    <w:p>
      <w:pPr>
        <w:spacing w:after="110" w:line="276"/>
      </w:pPr>
      <w:r>
        <w:rPr>
          <w:rFonts w:ascii="Calibri" w:cs="Calibri" w:eastAsia="Calibri" w:hAnsi="Calibri"/>
          <w:b/>
          <w:bCs/>
          <w:sz w:val="21"/>
          <w:szCs w:val="21"/>
        </w:rPr>
        <w:t xml:space="preserve">Keep the response columns. </w:t>
      </w:r>
      <w:r>
        <w:rPr>
          <w:rFonts w:ascii="Calibri" w:cs="Calibri" w:eastAsia="Calibri" w:hAnsi="Calibri"/>
          <w:sz w:val="21"/>
          <w:szCs w:val="21"/>
        </w:rPr>
        <w:t xml:space="preserve">The third column of every table is where the bidder commits. A table returned with prose in that column and no numbers is a non-responsive bid.</w:t>
      </w:r>
    </w:p>
    <w:p>
      <w:pPr>
        <w:pStyle w:val="Heading1"/>
        <w:spacing w:after="140" w:before="360"/>
      </w:pPr>
      <w:r>
        <w:rPr>
          <w:rFonts w:ascii="Calibri" w:cs="Calibri" w:eastAsia="Calibri" w:hAnsi="Calibri"/>
          <w:b/>
          <w:bCs/>
          <w:color w:val="2A6440"/>
          <w:sz w:val="30"/>
          <w:szCs w:val="30"/>
        </w:rPr>
        <w:t xml:space="preserve">2.  Instructions to bidders</w:t>
      </w:r>
    </w:p>
    <w:p>
      <w:pPr>
        <w:spacing w:after="140" w:before="0" w:line="276"/>
      </w:pPr>
      <w:r>
        <w:rPr>
          <w:rFonts w:ascii="Calibri" w:cs="Calibri" w:eastAsia="Calibri" w:hAnsi="Calibri"/>
          <w:sz w:val="21"/>
          <w:szCs w:val="21"/>
        </w:rPr>
        <w:t xml:space="preserve">Responses are due by [DATE, TIME, TIME ZONE], submitted to [CONTACT] in [FORMAT]. Questions must be received by [DATE]; answers will be published to all registered bidders. [JURISDICTION] reserves the right to reject any or all responses, to request clarification, and to negotiate with more than one bidder.</w:t>
      </w:r>
    </w:p>
    <w:p>
      <w:pPr>
        <w:spacing w:after="140" w:before="0" w:line="276"/>
      </w:pPr>
      <w:r>
        <w:rPr>
          <w:rFonts w:ascii="Calibri" w:cs="Calibri" w:eastAsia="Calibri" w:hAnsi="Calibri"/>
          <w:sz w:val="21"/>
          <w:szCs w:val="21"/>
        </w:rPr>
        <w:t xml:space="preserve">Every commitment offered in response to Part A or Part B must be stated with four elements. A commitment missing any of them will be scored as zero, not as partial credit:</w:t>
      </w:r>
    </w:p>
    <w:p>
      <w:pPr>
        <w:spacing w:after="110" w:line="276"/>
        <w:ind w:left="360"/>
      </w:pPr>
      <w:r>
        <w:rPr>
          <w:rFonts w:ascii="Calibri" w:cs="Calibri" w:eastAsia="Calibri" w:hAnsi="Calibri"/>
          <w:b/>
          <w:bCs/>
          <w:sz w:val="21"/>
          <w:szCs w:val="21"/>
        </w:rPr>
        <w:t xml:space="preserve">A quantity. </w:t>
      </w:r>
      <w:r>
        <w:rPr>
          <w:rFonts w:ascii="Calibri" w:cs="Calibri" w:eastAsia="Calibri" w:hAnsi="Calibri"/>
          <w:sz w:val="21"/>
          <w:szCs w:val="21"/>
        </w:rPr>
        <w:t xml:space="preserve">A number with a unit and a period — tons per month, megawatt-hours per year, tokens per month, degrees of return-water ΔT, dollars indexed to what and from when. Not "substantial" or "as available".</w:t>
      </w:r>
    </w:p>
    <w:p>
      <w:pPr>
        <w:spacing w:after="110" w:line="276"/>
        <w:ind w:left="360"/>
      </w:pPr>
      <w:r>
        <w:rPr>
          <w:rFonts w:ascii="Calibri" w:cs="Calibri" w:eastAsia="Calibri" w:hAnsi="Calibri"/>
          <w:b/>
          <w:bCs/>
          <w:sz w:val="21"/>
          <w:szCs w:val="21"/>
        </w:rPr>
        <w:t xml:space="preserve">A named administrator. </w:t>
      </w:r>
      <w:r>
        <w:rPr>
          <w:rFonts w:ascii="Calibri" w:cs="Calibri" w:eastAsia="Calibri" w:hAnsi="Calibri"/>
          <w:sz w:val="21"/>
          <w:szCs w:val="21"/>
        </w:rPr>
        <w:t xml:space="preserve">The entity that holds the commitment after the ribbon-cutting, and to whom the community complains when it lapses.</w:t>
      </w:r>
    </w:p>
    <w:p>
      <w:pPr>
        <w:spacing w:after="110" w:line="276"/>
        <w:ind w:left="360"/>
      </w:pPr>
      <w:r>
        <w:rPr>
          <w:rFonts w:ascii="Calibri" w:cs="Calibri" w:eastAsia="Calibri" w:hAnsi="Calibri"/>
          <w:b/>
          <w:bCs/>
          <w:sz w:val="21"/>
          <w:szCs w:val="21"/>
        </w:rPr>
        <w:t xml:space="preserve">A reporting cadence. </w:t>
      </w:r>
      <w:r>
        <w:rPr>
          <w:rFonts w:ascii="Calibri" w:cs="Calibri" w:eastAsia="Calibri" w:hAnsi="Calibri"/>
          <w:sz w:val="21"/>
          <w:szCs w:val="21"/>
        </w:rPr>
        <w:t xml:space="preserve">How often performance is reported, to whom, and whether the report is public.</w:t>
      </w:r>
    </w:p>
    <w:p>
      <w:pPr>
        <w:spacing w:after="110" w:line="276"/>
        <w:ind w:left="360"/>
      </w:pPr>
      <w:r>
        <w:rPr>
          <w:rFonts w:ascii="Calibri" w:cs="Calibri" w:eastAsia="Calibri" w:hAnsi="Calibri"/>
          <w:b/>
          <w:bCs/>
          <w:sz w:val="21"/>
          <w:szCs w:val="21"/>
        </w:rPr>
        <w:t xml:space="preserve">A remedy. </w:t>
      </w:r>
      <w:r>
        <w:rPr>
          <w:rFonts w:ascii="Calibri" w:cs="Calibri" w:eastAsia="Calibri" w:hAnsi="Calibri"/>
          <w:sz w:val="21"/>
          <w:szCs w:val="21"/>
        </w:rPr>
        <w:t xml:space="preserve">What happens on a miss — liquidated damages, a draw on security, or a defined cure period. A commitment with no remedy is an intention.</w:t>
      </w:r>
    </w:p>
    <w:p>
      <w:pPr>
        <w:spacing w:after="140" w:before="0" w:line="276"/>
      </w:pPr>
      <w:r>
        <w:rPr>
          <w:rFonts w:ascii="Calibri" w:cs="Calibri" w:eastAsia="Calibri" w:hAnsi="Calibri"/>
          <w:sz w:val="21"/>
          <w:szCs w:val="21"/>
        </w:rPr>
        <w:t xml:space="preserve">Bidders should assume every representation in a winning response will be carried into the binding agreements described in section 1.1, and secured under Part A.6.</w:t>
      </w:r>
    </w:p>
    <w:p>
      <w:pPr>
        <w:spacing w:after="140" w:before="0" w:line="276"/>
      </w:pPr>
      <w:r>
        <w:rPr>
          <w:rFonts w:ascii="Calibri" w:cs="Calibri" w:eastAsia="Calibri" w:hAnsi="Calibri"/>
          <w:i/>
          <w:iCs/>
          <w:color w:val="595959"/>
          <w:sz w:val="19"/>
          <w:szCs w:val="19"/>
        </w:rPr>
        <w:t xml:space="preserve">Drafting note for the jurisdiction: the four elements above are the single most consequential paragraph in this document. Community benefits packages that fail almost always fail here — not on the size of the number, but on the absence of an administrator and a remedy.</w:t>
      </w:r>
    </w:p>
    <w:p>
      <w:r>
        <w:br w:type="page"/>
      </w:r>
    </w:p>
    <w:p>
      <w:pPr>
        <w:pStyle w:val="Heading1"/>
        <w:spacing w:after="140" w:before="360"/>
      </w:pPr>
      <w:r>
        <w:rPr>
          <w:rFonts w:ascii="Calibri" w:cs="Calibri" w:eastAsia="Calibri" w:hAnsi="Calibri"/>
          <w:b/>
          <w:bCs/>
          <w:color w:val="2A6440"/>
          <w:sz w:val="30"/>
          <w:szCs w:val="30"/>
        </w:rPr>
        <w:t xml:space="preserve">3.  Part A — Conditions of hosting</w:t>
      </w:r>
    </w:p>
    <w:p>
      <w:pPr>
        <w:spacing w:after="140" w:before="0" w:line="276"/>
      </w:pPr>
      <w:r>
        <w:rPr>
          <w:rFonts w:ascii="Calibri" w:cs="Calibri" w:eastAsia="Calibri" w:hAnsi="Calibri"/>
          <w:sz w:val="21"/>
          <w:szCs w:val="21"/>
        </w:rPr>
        <w:t xml:space="preserve">Part A is a floor: the conditions under which [JURISDICTION] is willing to host this project at all. These are not scored against each other. A response that fails to meet any of them is non-responsive, regardless of what it offers in Part B.</w:t>
      </w:r>
    </w:p>
    <w:tbl>
      <w:tblPr>
        <w:tblW w:type="dxa" w:w="9360"/>
        <w:tblBorders>
          <w:top w:val="single" w:color="BFBFBF" w:sz="4"/>
          <w:left w:val="none" w:color="FFFFFF" w:sz="0"/>
          <w:bottom w:val="single" w:color="BFBFBF" w:sz="4"/>
          <w:right w:val="none" w:color="FFFFFF" w:sz="0"/>
          <w:insideH w:val="single" w:color="BFBFBF" w:sz="4"/>
          <w:insideV w:val="none" w:color="FFFFFF" w:sz="0"/>
        </w:tblBorders>
      </w:tblPr>
      <w:tblGrid>
        <w:gridCol w:w="1500"/>
        <w:gridCol w:w="5000"/>
        <w:gridCol w:w="2860"/>
      </w:tblGrid>
      <w:tr>
        <w:trPr>
          <w:tblHeader/>
        </w:trPr>
        <w:tc>
          <w:tcPr>
            <w:tcW w:type="dxa" w:w="15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Item</w:t>
            </w:r>
          </w:p>
        </w:tc>
        <w:tc>
          <w:tcPr>
            <w:tcW w:type="dxa" w:w="50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What the community requires</w:t>
            </w:r>
          </w:p>
        </w:tc>
        <w:tc>
          <w:tcPr>
            <w:tcW w:type="dxa" w:w="286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Bidder's commitment (quantity · administrator · cadence · remedy)</w:t>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Noise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A limit of [XX] dB(A) measured at the property line of the nearest residence — not at the project's own fence line — for both daytime and night-time periods, with continuous monitoring the jurisdiction can read directly. State the modelled level at the nearest three residences and the mitigation assumed to reach it.</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Water</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A hard annual withdrawal cap of [XX] million gallons, the source and permit named, consumptive versus non-consumptive use separated, and reuse and discharge disclosed. A drought protocol that curtails cooling before it curtails households. State the cooling technology and whether it is evaporative.</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Grid cost</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The load pays the transmission and distribution costs it causes, under a large-load tariff or an equivalent contractual assignment, with no residual on residential ratepayers. State the interconnection queue position, the assumed energization date, and the tariff relied on. Costs are to be settled before the first foundation, not by a later rate case.</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Tenant disclosure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What class of tenant will occupy the buildings, and the identity of any tenant taking more than [XX] MW, disclosed before certificate of occupancy and updated on change of tenancy. Speculative shells with undisclosed occupancy are not acceptable.</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Land and viewshed</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Setbacks of [XX] feet from residential parcels, [XX] percent of the site retained as open space, full-cutoff lighting, and a commitment on productive farmland that runs with the land and survives a change of ownership. Submit a viewshed study from [NAMED VANTAGE POINTS].</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Air, backup power and emissions</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Generator count, fuel, permitted run-hours and testing schedule. Annual testing hours capped at [XX] and scheduled outside [HOURS]. State the permitted criteria-pollutant emissions and the modelled concentration at the nearest residence and school.</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Default and decommissioning</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Security the jurisdiction can draw on directly — a letter of credit or bond of [$XX], not a parent guarantee — covering both the benefit commitments in Part B and a funded decommissioning plan for the end of the buildings' life. State the instrument, the issuer, the trigger, and who authorises the draw.</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bl>
    <w:p>
      <w:pPr>
        <w:spacing w:after="200" w:before="0" w:line="276"/>
      </w:pPr>
      <w:r>
        <w:rPr>
          <w:rFonts w:ascii="Calibri" w:cs="Calibri" w:eastAsia="Calibri" w:hAnsi="Calibri"/>
          <w:sz w:val="21"/>
          <w:szCs w:val="21"/>
        </w:rPr>
        <w:t xml:space="preserve"/>
      </w:r>
    </w:p>
    <w:p>
      <w:r>
        <w:br w:type="page"/>
      </w:r>
    </w:p>
    <w:p>
      <w:pPr>
        <w:pStyle w:val="Heading1"/>
        <w:spacing w:after="140" w:before="360"/>
      </w:pPr>
      <w:r>
        <w:rPr>
          <w:rFonts w:ascii="Calibri" w:cs="Calibri" w:eastAsia="Calibri" w:hAnsi="Calibri"/>
          <w:b/>
          <w:bCs/>
          <w:color w:val="2A6440"/>
          <w:sz w:val="30"/>
          <w:szCs w:val="30"/>
        </w:rPr>
        <w:t xml:space="preserve">4.  Part B — The exchange schedule</w:t>
      </w:r>
    </w:p>
    <w:p>
      <w:pPr>
        <w:spacing w:after="140" w:before="0" w:line="276"/>
      </w:pPr>
      <w:r>
        <w:rPr>
          <w:rFonts w:ascii="Calibri" w:cs="Calibri" w:eastAsia="Calibri" w:hAnsi="Calibri"/>
          <w:sz w:val="21"/>
          <w:szCs w:val="21"/>
        </w:rPr>
        <w:t xml:space="preserve">Part A is what the community will not trade. Part B is what it is asking for in return — the lasting value that justifies granting the scarcest input in the supply chain.</w:t>
      </w:r>
    </w:p>
    <w:p>
      <w:pPr>
        <w:spacing w:after="140" w:before="0" w:line="276"/>
      </w:pPr>
      <w:r>
        <w:rPr>
          <w:rFonts w:ascii="Calibri" w:cs="Calibri" w:eastAsia="Calibri" w:hAnsi="Calibri"/>
          <w:sz w:val="21"/>
          <w:szCs w:val="21"/>
        </w:rPr>
        <w:t xml:space="preserve">The schedule is organised along the three edges of a campus: farm to community, farm to data center, and community to data center. Every edge carries value in both directions. A bidder proposing only a data center should complete Edge 03 and may propose partners for the others.</w:t>
      </w:r>
    </w:p>
    <w:p>
      <w:pPr>
        <w:pStyle w:val="Heading2"/>
        <w:spacing w:after="140" w:before="260"/>
      </w:pPr>
      <w:r>
        <w:rPr>
          <w:rFonts w:ascii="Calibri" w:cs="Calibri" w:eastAsia="Calibri" w:hAnsi="Calibri"/>
          <w:b/>
          <w:bCs/>
          <w:color w:val="222222"/>
          <w:sz w:val="24"/>
          <w:szCs w:val="24"/>
        </w:rPr>
        <w:t xml:space="preserve">4.1  Edge 01 — Farm → Community</w:t>
      </w:r>
    </w:p>
    <w:p>
      <w:pPr>
        <w:spacing w:after="140" w:before="0" w:line="276"/>
      </w:pPr>
      <w:r>
        <w:rPr>
          <w:rFonts w:ascii="Calibri" w:cs="Calibri" w:eastAsia="Calibri" w:hAnsi="Calibri"/>
          <w:sz w:val="21"/>
          <w:szCs w:val="21"/>
        </w:rPr>
        <w:t xml:space="preserve">What the farm owes the people who host it: food, ground to grow on, and open access to a working industrial process.</w:t>
      </w:r>
    </w:p>
    <w:tbl>
      <w:tblPr>
        <w:tblW w:type="dxa" w:w="9360"/>
        <w:tblBorders>
          <w:top w:val="single" w:color="BFBFBF" w:sz="4"/>
          <w:left w:val="none" w:color="FFFFFF" w:sz="0"/>
          <w:bottom w:val="single" w:color="BFBFBF" w:sz="4"/>
          <w:right w:val="none" w:color="FFFFFF" w:sz="0"/>
          <w:insideH w:val="single" w:color="BFBFBF" w:sz="4"/>
          <w:insideV w:val="none" w:color="FFFFFF" w:sz="0"/>
        </w:tblBorders>
      </w:tblPr>
      <w:tblGrid>
        <w:gridCol w:w="1500"/>
        <w:gridCol w:w="5000"/>
        <w:gridCol w:w="2860"/>
      </w:tblGrid>
      <w:tr>
        <w:trPr>
          <w:tblHeader/>
        </w:trPr>
        <w:tc>
          <w:tcPr>
            <w:tcW w:type="dxa" w:w="15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Item</w:t>
            </w:r>
          </w:p>
        </w:tc>
        <w:tc>
          <w:tcPr>
            <w:tcW w:type="dxa" w:w="50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What the community requires</w:t>
            </w:r>
          </w:p>
        </w:tc>
        <w:tc>
          <w:tcPr>
            <w:tcW w:type="dxa" w:w="286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Bidder's commitment (quantity · administrator · cadence · remedy)</w:t>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Compost</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Free organic compost, up to a stated monthly volume, for community garden allotments on the campus.</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Fresh produce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Free greens and produce for the community center cafeteria, up to a stated monthly volume.</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K–12 learning</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The farm floor open for class tours and embedded, for-credit learning experiences, at a stated number of student-days per year.</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University research</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Automation process data and operational artifacts published through the community center, where university researchers can run analytical and scientific work on a real production facility.</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Maker space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Community and school maker-space users study the farm's working technology and fabricate replacement parts and add-ons for it.</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Supply chain</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Small businesses working out of the Community Learning Center get a defined route into the CEA farm supply chain — resale, follow-on products, specialty crops.</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Indoor allotments</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A stated portion of the growing area reserved for community members, students and local businesses to run their own indoor projects.</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Outdoor allotments</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Outdoor gardening plots, with the water, soil, storage and tool resources that normally accompany them.</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bl>
    <w:p>
      <w:pPr>
        <w:spacing w:after="200" w:before="0" w:line="276"/>
      </w:pPr>
      <w:r>
        <w:rPr>
          <w:rFonts w:ascii="Calibri" w:cs="Calibri" w:eastAsia="Calibri" w:hAnsi="Calibri"/>
          <w:sz w:val="21"/>
          <w:szCs w:val="21"/>
        </w:rPr>
        <w:t xml:space="preserve"/>
      </w:r>
    </w:p>
    <w:p>
      <w:pPr>
        <w:pStyle w:val="Heading2"/>
        <w:spacing w:after="140" w:before="260"/>
      </w:pPr>
      <w:r>
        <w:rPr>
          <w:rFonts w:ascii="Calibri" w:cs="Calibri" w:eastAsia="Calibri" w:hAnsi="Calibri"/>
          <w:b/>
          <w:bCs/>
          <w:color w:val="222222"/>
          <w:sz w:val="24"/>
          <w:szCs w:val="24"/>
        </w:rPr>
        <w:t xml:space="preserve">4.2  Edge 02 — Farm → Data Center</w:t>
      </w:r>
    </w:p>
    <w:p>
      <w:pPr>
        <w:spacing w:after="140" w:before="0" w:line="276"/>
      </w:pPr>
      <w:r>
        <w:rPr>
          <w:rFonts w:ascii="Calibri" w:cs="Calibri" w:eastAsia="Calibri" w:hAnsi="Calibri"/>
          <w:sz w:val="21"/>
          <w:szCs w:val="21"/>
        </w:rPr>
        <w:t xml:space="preserve">The physical plant the two share. Every row here is a metered exchange, and every one should carry a quantity and a fallback in the agreement — what happens to the greenhouse when the data center is down, and to the data center when the greenhouse is not taking heat.</w:t>
      </w:r>
    </w:p>
    <w:tbl>
      <w:tblPr>
        <w:tblW w:type="dxa" w:w="9360"/>
        <w:tblBorders>
          <w:top w:val="single" w:color="BFBFBF" w:sz="4"/>
          <w:left w:val="none" w:color="FFFFFF" w:sz="0"/>
          <w:bottom w:val="single" w:color="BFBFBF" w:sz="4"/>
          <w:right w:val="none" w:color="FFFFFF" w:sz="0"/>
          <w:insideH w:val="single" w:color="BFBFBF" w:sz="4"/>
          <w:insideV w:val="none" w:color="FFFFFF" w:sz="0"/>
        </w:tblBorders>
      </w:tblPr>
      <w:tblGrid>
        <w:gridCol w:w="1500"/>
        <w:gridCol w:w="5000"/>
        <w:gridCol w:w="2860"/>
      </w:tblGrid>
      <w:tr>
        <w:trPr>
          <w:tblHeader/>
        </w:trPr>
        <w:tc>
          <w:tcPr>
            <w:tcW w:type="dxa" w:w="15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Item</w:t>
            </w:r>
          </w:p>
        </w:tc>
        <w:tc>
          <w:tcPr>
            <w:tcW w:type="dxa" w:w="50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What the community requires</w:t>
            </w:r>
          </w:p>
        </w:tc>
        <w:tc>
          <w:tcPr>
            <w:tcW w:type="dxa" w:w="286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Bidder's commitment (quantity · administrator · cadence · remedy)</w:t>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Thermal</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Data center heat rejected into the campus loop, loop heat delivered to the glasshouse, and a return-water ΔT obligation both sides are held to. State supply and return temperatures and the guaranteed recoverable thermal load.</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HVAC</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Shared heat pumps, chillers and evaporators wherever a single plant can serve both loads more efficiently than two. State which plant is shared and who owns, operates and maintains it.</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Power</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Reserved-capacity absorption, interruptible load, a shared substation, and standby generation. State the interruptible megawatts and the notice period.</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Virtual power and DER</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Farm and data center co-participate in virtual power management, sharing grid access, battery storage and VPP / DER instrumentation. State the storage capacity and how market revenue is split.</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Water</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Greenhouse condensate to data center makeup, a shared rainwater reservoir, and a shared discharge permit. State gallons per year in each direction.</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CO₂</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CHP flue-gas enrichment and biogenic CO₂ from the digester, delivered to the growing environment at a stated concentration and purity.</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Organics and fuel</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Culls to the digester, biogas to CHP, digestate back into the nutrient loop. State tonnages and the fate of each stream.</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Product and service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Fresh offtake, second-grade offtake, and a shared cold chain.</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Data</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Fiber and edge compute, plus campus SCADA and energy management running across both facilities. State bandwidth, latency and who holds the data.</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Site and intangible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Entitlement and community-consent support, and shared site works — roads, security, stormwater, utilities.</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bl>
    <w:p>
      <w:pPr>
        <w:spacing w:after="200" w:before="0" w:line="276"/>
      </w:pPr>
      <w:r>
        <w:rPr>
          <w:rFonts w:ascii="Calibri" w:cs="Calibri" w:eastAsia="Calibri" w:hAnsi="Calibri"/>
          <w:sz w:val="21"/>
          <w:szCs w:val="21"/>
        </w:rPr>
        <w:t xml:space="preserve"/>
      </w:r>
    </w:p>
    <w:p>
      <w:pPr>
        <w:pStyle w:val="Heading2"/>
        <w:spacing w:after="140" w:before="260"/>
      </w:pPr>
      <w:r>
        <w:rPr>
          <w:rFonts w:ascii="Calibri" w:cs="Calibri" w:eastAsia="Calibri" w:hAnsi="Calibri"/>
          <w:b/>
          <w:bCs/>
          <w:color w:val="222222"/>
          <w:sz w:val="24"/>
          <w:szCs w:val="24"/>
        </w:rPr>
        <w:t xml:space="preserve">4.3  Edge 03 — Community → Data Center</w:t>
      </w:r>
    </w:p>
    <w:p>
      <w:pPr>
        <w:spacing w:after="140" w:before="0" w:line="276"/>
      </w:pPr>
      <w:r>
        <w:rPr>
          <w:rFonts w:ascii="Calibri" w:cs="Calibri" w:eastAsia="Calibri" w:hAnsi="Calibri"/>
          <w:sz w:val="21"/>
          <w:szCs w:val="21"/>
        </w:rPr>
        <w:t xml:space="preserve">The edge that is usually empty. A data center sited next to a community should be a source of compute, bandwidth and skills — not just tax revenue and a fence.</w:t>
      </w:r>
    </w:p>
    <w:tbl>
      <w:tblPr>
        <w:tblW w:type="dxa" w:w="9360"/>
        <w:tblBorders>
          <w:top w:val="single" w:color="BFBFBF" w:sz="4"/>
          <w:left w:val="none" w:color="FFFFFF" w:sz="0"/>
          <w:bottom w:val="single" w:color="BFBFBF" w:sz="4"/>
          <w:right w:val="none" w:color="FFFFFF" w:sz="0"/>
          <w:insideH w:val="single" w:color="BFBFBF" w:sz="4"/>
          <w:insideV w:val="none" w:color="FFFFFF" w:sz="0"/>
        </w:tblBorders>
      </w:tblPr>
      <w:tblGrid>
        <w:gridCol w:w="1500"/>
        <w:gridCol w:w="5000"/>
        <w:gridCol w:w="2860"/>
      </w:tblGrid>
      <w:tr>
        <w:trPr>
          <w:tblHeader/>
        </w:trPr>
        <w:tc>
          <w:tcPr>
            <w:tcW w:type="dxa" w:w="15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Item</w:t>
            </w:r>
          </w:p>
        </w:tc>
        <w:tc>
          <w:tcPr>
            <w:tcW w:type="dxa" w:w="50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What the community requires</w:t>
            </w:r>
          </w:p>
        </w:tc>
        <w:tc>
          <w:tcPr>
            <w:tcW w:type="dxa" w:w="286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Bidder's commitment (quantity · administrator · cadence · remedy)</w:t>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AI tokens</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A monthly allowance of free and/or discounted AI model tokens, so the community center and its remote programs can run education and AI-literacy work at real scale. State the monthly allowance and the discount rate beyond it.</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Network access</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High-bandwidth internet for the community center over fiber the data center provides. State committed bandwidth and the term.</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K–12 learning</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The facility open for class tours and embedded learning experiences, at a stated number of student-days per year.</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University research</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Operations and automation data published through the community center for AI, energy and infrastructure research.</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Maker space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Community and school maker-space users study the data center's working technology and fabricate replacement parts and add-ons for it.</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Supply chain</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Where possible, small businesses working out of the Community Learning Center get a defined route into the data center supply chain — services, resale and follow-on products. State the local-spend target.</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Computing resources</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Free and/or discounted computer equipment for the community center, including decommissioned hardware on a stated refresh cycle.</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Workforce</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Training pipelines with named education partners, enrollment targets, and hiring commitments for construction and operations roles. State the number of permanent local positions and the wage floor.</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15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Land and site works</w:t>
            </w:r>
          </w:p>
        </w:tc>
        <w:tc>
          <w:tcPr>
            <w:tcW w:type="dxa" w:w="5000"/>
            <w:tcMar>
              <w:top w:type="dxa" w:w="90"/>
              <w:left w:type="dxa" w:w="120"/>
              <w:bottom w:type="dxa" w:w="90"/>
              <w:right w:type="dxa" w:w="120"/>
            </w:tcMar>
          </w:tcPr>
          <w:p>
            <w:pPr>
              <w:spacing w:after="0" w:line="260"/>
            </w:pPr>
            <w:r>
              <w:rPr>
                <w:rFonts w:ascii="Calibri" w:cs="Calibri" w:eastAsia="Calibri" w:hAnsi="Calibri"/>
                <w:sz w:val="20"/>
                <w:szCs w:val="20"/>
              </w:rPr>
              <w:t xml:space="preserve">The data center funds and prepares the ground for community allotments and open space on campus, and maintains the shared site infrastructure serving them.</w:t>
            </w:r>
          </w:p>
        </w:tc>
        <w:tc>
          <w:tcPr>
            <w:tcW w:type="dxa" w:w="286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bl>
    <w:p>
      <w:pPr>
        <w:spacing w:after="200" w:before="0" w:line="276"/>
      </w:pPr>
      <w:r>
        <w:rPr>
          <w:rFonts w:ascii="Calibri" w:cs="Calibri" w:eastAsia="Calibri" w:hAnsi="Calibri"/>
          <w:sz w:val="21"/>
          <w:szCs w:val="21"/>
        </w:rPr>
        <w:t xml:space="preserve"/>
      </w:r>
    </w:p>
    <w:p>
      <w:r>
        <w:br w:type="page"/>
      </w:r>
    </w:p>
    <w:p>
      <w:pPr>
        <w:pStyle w:val="Heading1"/>
        <w:spacing w:after="140" w:before="360"/>
      </w:pPr>
      <w:r>
        <w:rPr>
          <w:rFonts w:ascii="Calibri" w:cs="Calibri" w:eastAsia="Calibri" w:hAnsi="Calibri"/>
          <w:b/>
          <w:bCs/>
          <w:color w:val="2A6440"/>
          <w:sz w:val="30"/>
          <w:szCs w:val="30"/>
        </w:rPr>
        <w:t xml:space="preserve">5.  Part C — Turning an offer into an obligation</w:t>
      </w:r>
    </w:p>
    <w:p>
      <w:pPr>
        <w:spacing w:after="140" w:before="0" w:line="276"/>
      </w:pPr>
      <w:r>
        <w:rPr>
          <w:rFonts w:ascii="Calibri" w:cs="Calibri" w:eastAsia="Calibri" w:hAnsi="Calibri"/>
          <w:sz w:val="21"/>
          <w:szCs w:val="21"/>
        </w:rPr>
        <w:t xml:space="preserve">Every row in Part B says what, not how much. That is deliberate: the community names what it wants and developers compete on the size of the offer. But an offer only becomes an obligation when it carries the four elements from section 2. The difference is not rhetorical, and it is visible in the record.</w:t>
      </w:r>
    </w:p>
    <w:p>
      <w:pPr>
        <w:spacing w:after="140" w:before="0" w:line="276"/>
      </w:pPr>
      <w:r>
        <w:rPr>
          <w:rFonts w:ascii="Calibri" w:cs="Calibri" w:eastAsia="Calibri" w:hAnsi="Calibri"/>
          <w:sz w:val="21"/>
          <w:szCs w:val="21"/>
        </w:rPr>
        <w:t xml:space="preserve">In November 2025, Lancaster, Pennsylvania approved a $20 million community benefits agreement built as two standing funds of $10 million each, with named administrators, payments tied to construction milestones, and a letter of credit the city can draw on directly if a payment is missed. Six months later, Hanover County, Virginia rejected a package of roughly $21 million — more money — offered as a water pump station and some parkland. One is an institution. The other is an apology.</w:t>
      </w:r>
    </w:p>
    <w:p>
      <w:pPr>
        <w:pStyle w:val="Heading2"/>
        <w:spacing w:after="140" w:before="260"/>
      </w:pPr>
      <w:r>
        <w:rPr>
          <w:rFonts w:ascii="Calibri" w:cs="Calibri" w:eastAsia="Calibri" w:hAnsi="Calibri"/>
          <w:b/>
          <w:bCs/>
          <w:color w:val="222222"/>
          <w:sz w:val="24"/>
          <w:szCs w:val="24"/>
        </w:rPr>
        <w:t xml:space="preserve">5.1  Worked example</w:t>
      </w:r>
    </w:p>
    <w:p>
      <w:pPr>
        <w:spacing w:after="140" w:before="0" w:line="276"/>
      </w:pPr>
      <w:r>
        <w:rPr>
          <w:rFonts w:ascii="Calibri" w:cs="Calibri" w:eastAsia="Calibri" w:hAnsi="Calibri"/>
          <w:sz w:val="21"/>
          <w:szCs w:val="21"/>
        </w:rPr>
        <w:t xml:space="preserve">Item: AI tokens. Weak commitment: "The data center will support AI literacy in the community." Sufficient commitment: "[BIDDER] will provide the [NAME] Community Center 50 million model tokens per month at no charge, and a 60 percent discount on usage beyond that, for fifteen years from certificate of occupancy. Administered by [ENTITY] under a service agreement assignable to the jurisdiction. Usage and availability reported quarterly and published. A shortfall below 90 percent of the monthly allowance in any two consecutive quarters permits a draw of [$XX] on the letter of credit under Part A.7."</w:t>
      </w:r>
    </w:p>
    <w:p>
      <w:pPr>
        <w:pStyle w:val="Heading2"/>
        <w:spacing w:after="140" w:before="260"/>
      </w:pPr>
      <w:r>
        <w:rPr>
          <w:rFonts w:ascii="Calibri" w:cs="Calibri" w:eastAsia="Calibri" w:hAnsi="Calibri"/>
          <w:b/>
          <w:bCs/>
          <w:color w:val="222222"/>
          <w:sz w:val="24"/>
          <w:szCs w:val="24"/>
        </w:rPr>
        <w:t xml:space="preserve">5.2  Continuity</w:t>
      </w:r>
    </w:p>
    <w:p>
      <w:pPr>
        <w:spacing w:after="140" w:before="0" w:line="276"/>
      </w:pPr>
      <w:r>
        <w:rPr>
          <w:rFonts w:ascii="Calibri" w:cs="Calibri" w:eastAsia="Calibri" w:hAnsi="Calibri"/>
          <w:sz w:val="21"/>
          <w:szCs w:val="21"/>
        </w:rPr>
        <w:t xml:space="preserve">Data centers change hands. Every obligation accepted under Part A and Part B must run with the land or bind successors and assigns expressly, and the security instrument under Part A.7 must survive a transfer of ownership, a change of tenant, and a sale of the operating company. State how each commitment survives each of those three events.</w:t>
      </w:r>
    </w:p>
    <w:p>
      <w:pPr>
        <w:pStyle w:val="Heading1"/>
        <w:spacing w:after="140" w:before="360"/>
      </w:pPr>
      <w:r>
        <w:rPr>
          <w:rFonts w:ascii="Calibri" w:cs="Calibri" w:eastAsia="Calibri" w:hAnsi="Calibri"/>
          <w:b/>
          <w:bCs/>
          <w:color w:val="2A6440"/>
          <w:sz w:val="30"/>
          <w:szCs w:val="30"/>
        </w:rPr>
        <w:t xml:space="preserve">6.  Part D — Evaluation</w:t>
      </w:r>
    </w:p>
    <w:p>
      <w:pPr>
        <w:spacing w:after="140" w:before="0" w:line="276"/>
      </w:pPr>
      <w:r>
        <w:rPr>
          <w:rFonts w:ascii="Calibri" w:cs="Calibri" w:eastAsia="Calibri" w:hAnsi="Calibri"/>
          <w:sz w:val="21"/>
          <w:szCs w:val="21"/>
        </w:rPr>
        <w:t xml:space="preserve">Part A is scored pass/fail. Responses that clear it are scored on the criteria below. [JURISDICTION] should set the weights before issuing this document and publish them here — bidders optimise for what is weighted, and a weighting published after the fact invites a protest.</w:t>
      </w:r>
    </w:p>
    <w:tbl>
      <w:tblPr>
        <w:tblW w:type="dxa" w:w="9360"/>
        <w:tblBorders>
          <w:top w:val="single" w:color="BFBFBF" w:sz="4"/>
          <w:left w:val="none" w:color="FFFFFF" w:sz="0"/>
          <w:bottom w:val="single" w:color="BFBFBF" w:sz="4"/>
          <w:right w:val="none" w:color="FFFFFF" w:sz="0"/>
          <w:insideH w:val="single" w:color="BFBFBF" w:sz="4"/>
          <w:insideV w:val="none" w:color="FFFFFF" w:sz="0"/>
        </w:tblBorders>
      </w:tblPr>
      <w:tblGrid>
        <w:gridCol w:w="2100"/>
        <w:gridCol w:w="6060"/>
        <w:gridCol w:w="1200"/>
      </w:tblGrid>
      <w:tr>
        <w:trPr>
          <w:tblHeader/>
        </w:trPr>
        <w:tc>
          <w:tcPr>
            <w:tcW w:type="dxa" w:w="21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Criterion</w:t>
            </w:r>
          </w:p>
        </w:tc>
        <w:tc>
          <w:tcPr>
            <w:tcW w:type="dxa" w:w="606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Weight and basis</w:t>
            </w:r>
          </w:p>
        </w:tc>
        <w:tc>
          <w:tcPr>
            <w:tcW w:type="dxa" w:w="1200"/>
            <w:shd w:fill="EFF7F1" w:color="auto" w:val="clear"/>
            <w:tcMar>
              <w:top w:type="dxa" w:w="90"/>
              <w:left w:type="dxa" w:w="120"/>
              <w:bottom w:type="dxa" w:w="90"/>
              <w:right w:type="dxa" w:w="120"/>
            </w:tcMar>
          </w:tcPr>
          <w:p>
            <w:pPr>
              <w:spacing w:after="0" w:line="260"/>
            </w:pPr>
            <w:r>
              <w:rPr>
                <w:rFonts w:ascii="Calibri" w:cs="Calibri" w:eastAsia="Calibri" w:hAnsi="Calibri"/>
                <w:b/>
                <w:bCs/>
                <w:sz w:val="19"/>
                <w:szCs w:val="19"/>
              </w:rPr>
              <w:t xml:space="preserve">Score</w:t>
            </w:r>
          </w:p>
        </w:tc>
      </w:tr>
      <w:tr>
        <w:tc>
          <w:tcPr>
            <w:tcW w:type="dxa" w:w="21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Part A conformance</w:t>
            </w:r>
          </w:p>
        </w:tc>
        <w:tc>
          <w:tcPr>
            <w:tcW w:type="dxa" w:w="6060"/>
            <w:tcMar>
              <w:top w:type="dxa" w:w="90"/>
              <w:left w:type="dxa" w:w="120"/>
              <w:bottom w:type="dxa" w:w="90"/>
              <w:right w:type="dxa" w:w="120"/>
            </w:tcMar>
          </w:tcPr>
          <w:p>
            <w:pPr>
              <w:spacing w:after="0" w:line="260"/>
            </w:pPr>
            <w:r>
              <w:rPr>
                <w:rFonts w:ascii="Calibri" w:cs="Calibri" w:eastAsia="Calibri" w:hAnsi="Calibri"/>
                <w:sz w:val="20"/>
                <w:szCs w:val="20"/>
              </w:rPr>
              <w:t xml:space="preserve">Pass / fail. A response that does not meet every condition of hosting is not scored further.</w:t>
            </w:r>
          </w:p>
        </w:tc>
        <w:tc>
          <w:tcPr>
            <w:tcW w:type="dxa" w:w="120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21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Value of Part B commitments</w:t>
            </w:r>
          </w:p>
        </w:tc>
        <w:tc>
          <w:tcPr>
            <w:tcW w:type="dxa" w:w="6060"/>
            <w:tcMar>
              <w:top w:type="dxa" w:w="90"/>
              <w:left w:type="dxa" w:w="120"/>
              <w:bottom w:type="dxa" w:w="90"/>
              <w:right w:type="dxa" w:w="120"/>
            </w:tcMar>
          </w:tcPr>
          <w:p>
            <w:pPr>
              <w:spacing w:after="0" w:line="260"/>
            </w:pPr>
            <w:r>
              <w:rPr>
                <w:rFonts w:ascii="Calibri" w:cs="Calibri" w:eastAsia="Calibri" w:hAnsi="Calibri"/>
                <w:sz w:val="20"/>
                <w:szCs w:val="20"/>
              </w:rPr>
              <w:t xml:space="preserve">[40] percent. Scored on the substance of what is offered across the three edges, discounted for anything not quantified.</w:t>
            </w:r>
          </w:p>
        </w:tc>
        <w:tc>
          <w:tcPr>
            <w:tcW w:type="dxa" w:w="120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21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Enforceability</w:t>
            </w:r>
          </w:p>
        </w:tc>
        <w:tc>
          <w:tcPr>
            <w:tcW w:type="dxa" w:w="6060"/>
            <w:tcMar>
              <w:top w:type="dxa" w:w="90"/>
              <w:left w:type="dxa" w:w="120"/>
              <w:bottom w:type="dxa" w:w="90"/>
              <w:right w:type="dxa" w:w="120"/>
            </w:tcMar>
          </w:tcPr>
          <w:p>
            <w:pPr>
              <w:spacing w:after="0" w:line="260"/>
            </w:pPr>
            <w:r>
              <w:rPr>
                <w:rFonts w:ascii="Calibri" w:cs="Calibri" w:eastAsia="Calibri" w:hAnsi="Calibri"/>
                <w:sz w:val="20"/>
                <w:szCs w:val="20"/>
              </w:rPr>
              <w:t xml:space="preserve">[25] percent. Quantity, named administrator, reporting cadence, remedy, security, and survival on change of ownership.</w:t>
            </w:r>
          </w:p>
        </w:tc>
        <w:tc>
          <w:tcPr>
            <w:tcW w:type="dxa" w:w="120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21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Local economic impact</w:t>
            </w:r>
          </w:p>
        </w:tc>
        <w:tc>
          <w:tcPr>
            <w:tcW w:type="dxa" w:w="6060"/>
            <w:tcMar>
              <w:top w:type="dxa" w:w="90"/>
              <w:left w:type="dxa" w:w="120"/>
              <w:bottom w:type="dxa" w:w="90"/>
              <w:right w:type="dxa" w:w="120"/>
            </w:tcMar>
          </w:tcPr>
          <w:p>
            <w:pPr>
              <w:spacing w:after="0" w:line="260"/>
            </w:pPr>
            <w:r>
              <w:rPr>
                <w:rFonts w:ascii="Calibri" w:cs="Calibri" w:eastAsia="Calibri" w:hAnsi="Calibri"/>
                <w:sz w:val="20"/>
                <w:szCs w:val="20"/>
              </w:rPr>
              <w:t xml:space="preserve">[15] percent. Permanent local employment, wage levels, local spend, and tax base net of any abatement sought.</w:t>
            </w:r>
          </w:p>
        </w:tc>
        <w:tc>
          <w:tcPr>
            <w:tcW w:type="dxa" w:w="120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21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Capacity and track record</w:t>
            </w:r>
          </w:p>
        </w:tc>
        <w:tc>
          <w:tcPr>
            <w:tcW w:type="dxa" w:w="6060"/>
            <w:tcMar>
              <w:top w:type="dxa" w:w="90"/>
              <w:left w:type="dxa" w:w="120"/>
              <w:bottom w:type="dxa" w:w="90"/>
              <w:right w:type="dxa" w:w="120"/>
            </w:tcMar>
          </w:tcPr>
          <w:p>
            <w:pPr>
              <w:spacing w:after="0" w:line="260"/>
            </w:pPr>
            <w:r>
              <w:rPr>
                <w:rFonts w:ascii="Calibri" w:cs="Calibri" w:eastAsia="Calibri" w:hAnsi="Calibri"/>
                <w:sz w:val="20"/>
                <w:szCs w:val="20"/>
              </w:rPr>
              <w:t xml:space="preserve">[15] percent. Financial capacity, delivered projects of comparable scale, and the record of prior community benefits agreements — including whether they were kept.</w:t>
            </w:r>
          </w:p>
        </w:tc>
        <w:tc>
          <w:tcPr>
            <w:tcW w:type="dxa" w:w="120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r>
        <w:tc>
          <w:tcPr>
            <w:tcW w:type="dxa" w:w="2100"/>
            <w:tcMar>
              <w:top w:type="dxa" w:w="90"/>
              <w:left w:type="dxa" w:w="120"/>
              <w:bottom w:type="dxa" w:w="90"/>
              <w:right w:type="dxa" w:w="120"/>
            </w:tcMar>
          </w:tcPr>
          <w:p>
            <w:pPr>
              <w:spacing w:after="0" w:line="260"/>
            </w:pPr>
            <w:r>
              <w:rPr>
                <w:rFonts w:ascii="Calibri" w:cs="Calibri" w:eastAsia="Calibri" w:hAnsi="Calibri"/>
                <w:b/>
                <w:bCs/>
                <w:color w:val="2A6440"/>
                <w:sz w:val="20"/>
                <w:szCs w:val="20"/>
              </w:rPr>
              <w:t xml:space="preserve">Schedule certainty</w:t>
            </w:r>
          </w:p>
        </w:tc>
        <w:tc>
          <w:tcPr>
            <w:tcW w:type="dxa" w:w="6060"/>
            <w:tcMar>
              <w:top w:type="dxa" w:w="90"/>
              <w:left w:type="dxa" w:w="120"/>
              <w:bottom w:type="dxa" w:w="90"/>
              <w:right w:type="dxa" w:w="120"/>
            </w:tcMar>
          </w:tcPr>
          <w:p>
            <w:pPr>
              <w:spacing w:after="0" w:line="260"/>
            </w:pPr>
            <w:r>
              <w:rPr>
                <w:rFonts w:ascii="Calibri" w:cs="Calibri" w:eastAsia="Calibri" w:hAnsi="Calibri"/>
                <w:sz w:val="20"/>
                <w:szCs w:val="20"/>
              </w:rPr>
              <w:t xml:space="preserve">[5] percent. Interconnection position, financing status, and the realism of the energization date.</w:t>
            </w:r>
          </w:p>
        </w:tc>
        <w:tc>
          <w:tcPr>
            <w:tcW w:type="dxa" w:w="1200"/>
            <w:tcMar>
              <w:top w:type="dxa" w:w="90"/>
              <w:left w:type="dxa" w:w="120"/>
              <w:bottom w:type="dxa" w:w="90"/>
              <w:right w:type="dxa" w:w="120"/>
            </w:tcMar>
          </w:tcPr>
          <w:p>
            <w:pPr>
              <w:spacing w:after="0" w:line="260"/>
            </w:pPr>
            <w:r>
              <w:rPr>
                <w:rFonts w:ascii="Calibri" w:cs="Calibri" w:eastAsia="Calibri" w:hAnsi="Calibri"/>
                <w:sz w:val="20"/>
                <w:szCs w:val="20"/>
              </w:rPr>
              <w:t xml:space="preserve"/>
            </w:r>
          </w:p>
        </w:tc>
      </w:tr>
    </w:tbl>
    <w:p>
      <w:pPr>
        <w:spacing w:after="200" w:before="0" w:line="276"/>
      </w:pPr>
      <w:r>
        <w:rPr>
          <w:rFonts w:ascii="Calibri" w:cs="Calibri" w:eastAsia="Calibri" w:hAnsi="Calibri"/>
          <w:sz w:val="21"/>
          <w:szCs w:val="21"/>
        </w:rPr>
        <w:t xml:space="preserve"/>
      </w:r>
    </w:p>
    <w:p>
      <w:pPr>
        <w:spacing w:after="140" w:before="0" w:line="276"/>
      </w:pPr>
      <w:r>
        <w:rPr>
          <w:rFonts w:ascii="Calibri" w:cs="Calibri" w:eastAsia="Calibri" w:hAnsi="Calibri"/>
          <w:i/>
          <w:iCs/>
          <w:color w:val="595959"/>
          <w:sz w:val="19"/>
          <w:szCs w:val="19"/>
        </w:rPr>
        <w:t xml:space="preserve">Drafting note: ask bidders for the community benefits agreements they have signed elsewhere and the most recent compliance report on each. A developer that cannot produce one has told you something.</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Citizen RFP — Model Template</dc:title>
  <dc:creator>GreenPlex.ai</dc:creator>
  <dc:description>A community-issued request for proposals from data center and campus partners.</dc:description>
  <cp:lastModifiedBy>Un-named</cp:lastModifiedBy>
  <cp:revision>1</cp:revision>
  <dcterms:created xsi:type="dcterms:W3CDTF">2026-08-28T02:48:42.089Z</dcterms:created>
  <dcterms:modified xsi:type="dcterms:W3CDTF">2026-08-28T02:48:42.098Z</dcterms:modified>
</cp:coreProperties>
</file>

<file path=docProps/custom.xml><?xml version="1.0" encoding="utf-8"?>
<Properties xmlns="http://schemas.openxmlformats.org/officeDocument/2006/custom-properties" xmlns:vt="http://schemas.openxmlformats.org/officeDocument/2006/docPropsVTypes"/>
</file>